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31" w:rsidRPr="00F24105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РЕАЛІЗАЦІЇ </w:t>
      </w:r>
      <w:r w:rsidRPr="009846FA">
        <w:rPr>
          <w:b/>
          <w:color w:val="000000" w:themeColor="text1"/>
          <w:sz w:val="32"/>
          <w:szCs w:val="32"/>
          <w:lang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D36E28">
        <w:rPr>
          <w:b/>
          <w:color w:val="000000" w:themeColor="text1"/>
          <w:sz w:val="32"/>
          <w:szCs w:val="32"/>
          <w:lang w:val="en-US" w:eastAsia="uk-UA"/>
        </w:rPr>
        <w:t>C</w:t>
      </w:r>
      <w:r w:rsidR="00D36E28">
        <w:rPr>
          <w:b/>
          <w:color w:val="000000" w:themeColor="text1"/>
          <w:sz w:val="32"/>
          <w:szCs w:val="32"/>
          <w:lang w:val="uk-UA" w:eastAsia="uk-UA"/>
        </w:rPr>
        <w:t>ІЧЕНЬ-</w:t>
      </w:r>
      <w:r w:rsidR="00F44A8F">
        <w:rPr>
          <w:b/>
          <w:color w:val="000000" w:themeColor="text1"/>
          <w:sz w:val="32"/>
          <w:szCs w:val="32"/>
          <w:lang w:val="uk-UA" w:eastAsia="uk-UA"/>
        </w:rPr>
        <w:t>ТРАВЕН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>Ь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2016 РОКУ</w:t>
      </w:r>
    </w:p>
    <w:p w:rsidR="00073D2D" w:rsidRPr="006E5785" w:rsidRDefault="00073D2D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962E1B" w:rsidRDefault="009846FA" w:rsidP="00DE085D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FA7515">
        <w:rPr>
          <w:color w:val="000000"/>
          <w:sz w:val="28"/>
          <w:szCs w:val="28"/>
          <w:lang w:val="uk-UA" w:eastAsia="uk-UA"/>
        </w:rPr>
        <w:t>індекс</w:t>
      </w:r>
      <w:r>
        <w:rPr>
          <w:color w:val="000000"/>
          <w:sz w:val="28"/>
          <w:szCs w:val="28"/>
          <w:lang w:val="uk-UA" w:eastAsia="uk-UA"/>
        </w:rPr>
        <w:t>и</w:t>
      </w:r>
      <w:r w:rsidRPr="00FA7515">
        <w:rPr>
          <w:color w:val="000000"/>
          <w:sz w:val="28"/>
          <w:szCs w:val="28"/>
          <w:lang w:val="uk-UA" w:eastAsia="uk-UA"/>
        </w:rPr>
        <w:t xml:space="preserve"> промислової </w:t>
      </w:r>
      <w:r>
        <w:rPr>
          <w:color w:val="000000"/>
          <w:sz w:val="28"/>
          <w:szCs w:val="28"/>
          <w:lang w:val="uk-UA" w:eastAsia="uk-UA"/>
        </w:rPr>
        <w:t>продукції становили: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4D57A7">
        <w:rPr>
          <w:color w:val="000000"/>
          <w:sz w:val="28"/>
          <w:szCs w:val="28"/>
          <w:lang w:val="uk-UA" w:eastAsia="uk-UA"/>
        </w:rPr>
        <w:t>травен</w:t>
      </w:r>
      <w:r w:rsidRPr="005A5E6A">
        <w:rPr>
          <w:color w:val="000000"/>
          <w:sz w:val="28"/>
          <w:szCs w:val="28"/>
          <w:lang w:eastAsia="uk-UA"/>
        </w:rPr>
        <w:t>ь</w:t>
      </w:r>
      <w:proofErr w:type="spellEnd"/>
      <w:r w:rsidR="009810EE">
        <w:rPr>
          <w:color w:val="000000"/>
          <w:sz w:val="28"/>
          <w:szCs w:val="28"/>
          <w:lang w:val="uk-UA" w:eastAsia="uk-UA"/>
        </w:rPr>
        <w:t xml:space="preserve"> 2016 року</w:t>
      </w:r>
      <w:r>
        <w:rPr>
          <w:color w:val="000000"/>
          <w:sz w:val="28"/>
          <w:szCs w:val="28"/>
          <w:lang w:val="uk-UA" w:eastAsia="uk-UA"/>
        </w:rPr>
        <w:t xml:space="preserve"> до </w:t>
      </w:r>
      <w:r w:rsidR="00704DDD">
        <w:rPr>
          <w:color w:val="000000"/>
          <w:sz w:val="28"/>
          <w:szCs w:val="28"/>
          <w:lang w:val="uk-UA" w:eastAsia="uk-UA"/>
        </w:rPr>
        <w:t xml:space="preserve">квітня </w:t>
      </w:r>
      <w:r w:rsidR="009810EE">
        <w:rPr>
          <w:color w:val="000000"/>
          <w:sz w:val="28"/>
          <w:szCs w:val="28"/>
          <w:lang w:val="uk-UA" w:eastAsia="uk-UA"/>
        </w:rPr>
        <w:t>2016</w:t>
      </w:r>
      <w:r w:rsidRPr="00FA7515"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E271BD">
        <w:rPr>
          <w:color w:val="000000"/>
          <w:sz w:val="28"/>
          <w:szCs w:val="28"/>
          <w:lang w:val="uk-UA" w:eastAsia="uk-UA"/>
        </w:rPr>
        <w:t>91</w:t>
      </w:r>
      <w:r>
        <w:rPr>
          <w:color w:val="000000"/>
          <w:sz w:val="28"/>
          <w:szCs w:val="28"/>
          <w:lang w:val="uk-UA" w:eastAsia="uk-UA"/>
        </w:rPr>
        <w:t xml:space="preserve">,0 </w:t>
      </w:r>
      <w:r w:rsidRPr="00D13990">
        <w:rPr>
          <w:color w:val="000000"/>
          <w:sz w:val="28"/>
          <w:szCs w:val="28"/>
          <w:lang w:val="uk-UA" w:eastAsia="uk-UA"/>
        </w:rPr>
        <w:t>%</w:t>
      </w:r>
      <w:r w:rsidR="00A8669C" w:rsidRPr="00A8669C">
        <w:rPr>
          <w:color w:val="000000"/>
          <w:sz w:val="28"/>
          <w:szCs w:val="28"/>
          <w:lang w:eastAsia="uk-UA"/>
        </w:rPr>
        <w:t xml:space="preserve"> </w:t>
      </w:r>
      <w:r w:rsidR="00704DDD">
        <w:rPr>
          <w:color w:val="000000"/>
          <w:sz w:val="28"/>
          <w:szCs w:val="28"/>
          <w:lang w:val="uk-UA" w:eastAsia="uk-UA"/>
        </w:rPr>
        <w:t xml:space="preserve"> </w:t>
      </w:r>
      <w:r w:rsidR="00A8669C" w:rsidRPr="00A8669C">
        <w:rPr>
          <w:color w:val="000000"/>
          <w:sz w:val="28"/>
          <w:szCs w:val="28"/>
          <w:lang w:eastAsia="uk-UA"/>
        </w:rPr>
        <w:t>(</w:t>
      </w:r>
      <w:r w:rsidR="008D63CF">
        <w:rPr>
          <w:color w:val="000000"/>
          <w:sz w:val="28"/>
          <w:szCs w:val="28"/>
          <w:lang w:val="uk-UA" w:eastAsia="uk-UA"/>
        </w:rPr>
        <w:t>травень</w:t>
      </w:r>
      <w:r w:rsidR="009810EE">
        <w:rPr>
          <w:color w:val="000000"/>
          <w:sz w:val="28"/>
          <w:szCs w:val="28"/>
          <w:lang w:val="uk-UA" w:eastAsia="uk-UA"/>
        </w:rPr>
        <w:t xml:space="preserve"> 2015 року</w:t>
      </w:r>
      <w:r w:rsidR="00E271BD">
        <w:rPr>
          <w:color w:val="000000"/>
          <w:sz w:val="28"/>
          <w:szCs w:val="28"/>
          <w:lang w:val="uk-UA" w:eastAsia="uk-UA"/>
        </w:rPr>
        <w:t xml:space="preserve"> до </w:t>
      </w:r>
      <w:r w:rsidR="00704DDD">
        <w:rPr>
          <w:color w:val="000000"/>
          <w:sz w:val="28"/>
          <w:szCs w:val="28"/>
          <w:lang w:val="uk-UA" w:eastAsia="uk-UA"/>
        </w:rPr>
        <w:t>квітня</w:t>
      </w:r>
      <w:r w:rsidR="008D63CF">
        <w:rPr>
          <w:color w:val="000000"/>
          <w:sz w:val="28"/>
          <w:szCs w:val="28"/>
          <w:lang w:val="uk-UA" w:eastAsia="uk-UA"/>
        </w:rPr>
        <w:t xml:space="preserve"> 2015 року </w:t>
      </w:r>
      <w:r>
        <w:rPr>
          <w:color w:val="000000"/>
          <w:sz w:val="28"/>
          <w:szCs w:val="28"/>
          <w:lang w:val="uk-UA"/>
        </w:rPr>
        <w:t>–</w:t>
      </w:r>
      <w:r w:rsidR="00E271BD">
        <w:rPr>
          <w:color w:val="000000"/>
          <w:sz w:val="28"/>
          <w:szCs w:val="28"/>
          <w:lang w:val="uk-UA" w:eastAsia="uk-UA"/>
        </w:rPr>
        <w:t xml:space="preserve"> 114,0</w:t>
      </w:r>
      <w:r w:rsidRPr="00966EDC">
        <w:rPr>
          <w:color w:val="000000"/>
          <w:sz w:val="28"/>
          <w:szCs w:val="28"/>
          <w:lang w:val="uk-UA" w:eastAsia="uk-UA"/>
        </w:rPr>
        <w:t xml:space="preserve"> </w:t>
      </w:r>
      <w:r w:rsidR="00704DDD">
        <w:rPr>
          <w:color w:val="000000"/>
          <w:sz w:val="28"/>
          <w:szCs w:val="28"/>
          <w:lang w:val="uk-UA" w:eastAsia="uk-UA"/>
        </w:rPr>
        <w:t>%</w:t>
      </w:r>
      <w:r w:rsidR="00A8669C" w:rsidRPr="00A8669C">
        <w:rPr>
          <w:color w:val="000000"/>
          <w:sz w:val="28"/>
          <w:szCs w:val="28"/>
          <w:lang w:eastAsia="uk-UA"/>
        </w:rPr>
        <w:t xml:space="preserve"> </w:t>
      </w:r>
      <w:r w:rsidR="00A8669C">
        <w:rPr>
          <w:color w:val="000000"/>
          <w:sz w:val="28"/>
          <w:szCs w:val="28"/>
          <w:lang w:val="uk-UA" w:eastAsia="uk-UA"/>
        </w:rPr>
        <w:t>(</w:t>
      </w:r>
      <w:r w:rsidR="00AB1023">
        <w:rPr>
          <w:color w:val="000000"/>
          <w:sz w:val="28"/>
          <w:szCs w:val="28"/>
          <w:lang w:val="uk-UA" w:eastAsia="uk-UA"/>
        </w:rPr>
        <w:t xml:space="preserve">графік </w:t>
      </w:r>
      <w:r w:rsidR="008D63CF">
        <w:rPr>
          <w:color w:val="000000"/>
          <w:sz w:val="28"/>
          <w:szCs w:val="28"/>
          <w:lang w:val="uk-UA" w:eastAsia="uk-UA"/>
        </w:rPr>
        <w:t>1)</w:t>
      </w:r>
      <w:r w:rsidR="00D03DC4">
        <w:rPr>
          <w:color w:val="000000"/>
          <w:sz w:val="28"/>
          <w:szCs w:val="28"/>
          <w:lang w:val="uk-UA" w:eastAsia="uk-UA"/>
        </w:rPr>
        <w:t>)</w:t>
      </w:r>
      <w:r w:rsidR="00704DDD">
        <w:rPr>
          <w:color w:val="000000"/>
          <w:sz w:val="28"/>
          <w:szCs w:val="28"/>
          <w:lang w:val="uk-UA" w:eastAsia="uk-UA"/>
        </w:rPr>
        <w:t>;</w:t>
      </w:r>
      <w:r w:rsidR="00432982">
        <w:rPr>
          <w:color w:val="000000"/>
          <w:sz w:val="28"/>
          <w:szCs w:val="28"/>
          <w:lang w:val="uk-UA" w:eastAsia="uk-UA"/>
        </w:rPr>
        <w:t xml:space="preserve"> </w:t>
      </w:r>
      <w:r w:rsidR="00E271BD">
        <w:rPr>
          <w:color w:val="000000"/>
          <w:sz w:val="28"/>
          <w:szCs w:val="28"/>
          <w:lang w:val="uk-UA" w:eastAsia="uk-UA"/>
        </w:rPr>
        <w:t>травень</w:t>
      </w:r>
      <w:r w:rsidR="009810EE">
        <w:rPr>
          <w:color w:val="000000"/>
          <w:sz w:val="28"/>
          <w:szCs w:val="28"/>
          <w:lang w:val="uk-UA" w:eastAsia="uk-UA"/>
        </w:rPr>
        <w:t xml:space="preserve">       </w:t>
      </w:r>
      <w:r w:rsidR="00E271BD">
        <w:rPr>
          <w:color w:val="000000"/>
          <w:sz w:val="28"/>
          <w:szCs w:val="28"/>
          <w:lang w:val="uk-UA" w:eastAsia="uk-UA"/>
        </w:rPr>
        <w:t>2016</w:t>
      </w:r>
      <w:r w:rsidR="00704DDD">
        <w:rPr>
          <w:color w:val="000000"/>
          <w:sz w:val="28"/>
          <w:szCs w:val="28"/>
          <w:lang w:val="uk-UA" w:eastAsia="uk-UA"/>
        </w:rPr>
        <w:t xml:space="preserve"> року</w:t>
      </w:r>
      <w:r w:rsidR="00E271BD">
        <w:rPr>
          <w:color w:val="000000"/>
          <w:sz w:val="28"/>
          <w:szCs w:val="28"/>
          <w:lang w:val="uk-UA" w:eastAsia="uk-UA"/>
        </w:rPr>
        <w:t xml:space="preserve"> до травня 2015</w:t>
      </w:r>
      <w:r w:rsidR="00704DDD">
        <w:rPr>
          <w:color w:val="000000"/>
          <w:sz w:val="28"/>
          <w:szCs w:val="28"/>
          <w:lang w:val="uk-UA" w:eastAsia="uk-UA"/>
        </w:rPr>
        <w:t xml:space="preserve"> року</w:t>
      </w:r>
      <w:r w:rsidR="00E271BD">
        <w:rPr>
          <w:color w:val="000000"/>
          <w:sz w:val="28"/>
          <w:szCs w:val="28"/>
          <w:lang w:val="uk-UA" w:eastAsia="uk-UA"/>
        </w:rPr>
        <w:t xml:space="preserve"> </w:t>
      </w:r>
      <w:r w:rsidR="00E271BD">
        <w:rPr>
          <w:color w:val="000000"/>
          <w:sz w:val="28"/>
          <w:szCs w:val="28"/>
          <w:lang w:val="uk-UA"/>
        </w:rPr>
        <w:t xml:space="preserve">– </w:t>
      </w:r>
      <w:r w:rsidR="00A8669C">
        <w:rPr>
          <w:color w:val="000000"/>
          <w:sz w:val="28"/>
          <w:szCs w:val="28"/>
          <w:lang w:val="uk-UA"/>
        </w:rPr>
        <w:t>183,0 % (</w:t>
      </w:r>
      <w:r w:rsidR="00704DDD">
        <w:rPr>
          <w:color w:val="000000"/>
          <w:sz w:val="28"/>
          <w:szCs w:val="28"/>
          <w:lang w:val="uk-UA" w:eastAsia="uk-UA"/>
        </w:rPr>
        <w:t xml:space="preserve">травень 2015 року до </w:t>
      </w:r>
      <w:r w:rsidR="006E5785">
        <w:rPr>
          <w:color w:val="000000"/>
          <w:sz w:val="28"/>
          <w:szCs w:val="28"/>
          <w:lang w:val="uk-UA" w:eastAsia="uk-UA"/>
        </w:rPr>
        <w:t xml:space="preserve">                         </w:t>
      </w:r>
      <w:r w:rsidR="00704DDD">
        <w:rPr>
          <w:color w:val="000000"/>
          <w:sz w:val="28"/>
          <w:szCs w:val="28"/>
          <w:lang w:val="uk-UA" w:eastAsia="uk-UA"/>
        </w:rPr>
        <w:t xml:space="preserve">травня 2014 року </w:t>
      </w:r>
      <w:r w:rsidR="00704DDD">
        <w:rPr>
          <w:color w:val="000000"/>
          <w:sz w:val="28"/>
          <w:szCs w:val="28"/>
          <w:lang w:val="uk-UA"/>
        </w:rPr>
        <w:t>– 14,0 % (</w:t>
      </w:r>
      <w:r w:rsidR="00AB1023">
        <w:rPr>
          <w:color w:val="000000"/>
          <w:sz w:val="28"/>
          <w:szCs w:val="28"/>
          <w:lang w:val="uk-UA"/>
        </w:rPr>
        <w:t xml:space="preserve">графік </w:t>
      </w:r>
      <w:r w:rsidR="00704DDD">
        <w:rPr>
          <w:color w:val="000000"/>
          <w:sz w:val="28"/>
          <w:szCs w:val="28"/>
          <w:lang w:val="uk-UA"/>
        </w:rPr>
        <w:t>2)</w:t>
      </w:r>
      <w:r w:rsidR="00A8669C">
        <w:rPr>
          <w:color w:val="000000"/>
          <w:sz w:val="28"/>
          <w:szCs w:val="28"/>
          <w:lang w:val="uk-UA"/>
        </w:rPr>
        <w:t>)</w:t>
      </w:r>
      <w:r w:rsidR="00704DDD">
        <w:rPr>
          <w:color w:val="000000"/>
          <w:sz w:val="28"/>
          <w:szCs w:val="28"/>
          <w:lang w:val="uk-UA"/>
        </w:rPr>
        <w:t>;</w:t>
      </w:r>
      <w:r w:rsidR="00704DD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 w:rsidRPr="00966EDC">
        <w:rPr>
          <w:color w:val="000000"/>
          <w:sz w:val="28"/>
          <w:szCs w:val="28"/>
        </w:rPr>
        <w:t>ічень</w:t>
      </w:r>
      <w:proofErr w:type="spellEnd"/>
      <w:r w:rsidRPr="00966E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травень </w:t>
      </w:r>
      <w:r w:rsidRPr="00966EDC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66EDC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  <w:lang w:val="uk-UA"/>
        </w:rPr>
        <w:t xml:space="preserve">оку </w:t>
      </w:r>
      <w:r w:rsidRPr="00966EDC">
        <w:rPr>
          <w:color w:val="000000"/>
          <w:sz w:val="28"/>
          <w:szCs w:val="28"/>
        </w:rPr>
        <w:t>до</w:t>
      </w:r>
      <w:r w:rsidR="006E5785">
        <w:rPr>
          <w:rStyle w:val="apple-converted-space"/>
          <w:color w:val="000000"/>
          <w:sz w:val="28"/>
          <w:szCs w:val="28"/>
          <w:lang w:val="uk-UA"/>
        </w:rPr>
        <w:t xml:space="preserve">                    </w:t>
      </w:r>
      <w:r w:rsidRPr="00966EDC">
        <w:rPr>
          <w:color w:val="000000"/>
          <w:sz w:val="28"/>
          <w:szCs w:val="28"/>
          <w:lang w:val="en-US"/>
        </w:rPr>
        <w:t>c</w:t>
      </w:r>
      <w:proofErr w:type="spellStart"/>
      <w:r w:rsidRPr="00966EDC">
        <w:rPr>
          <w:color w:val="000000"/>
          <w:sz w:val="28"/>
          <w:szCs w:val="28"/>
        </w:rPr>
        <w:t>ічня</w:t>
      </w:r>
      <w:proofErr w:type="spellEnd"/>
      <w:r w:rsidRPr="00966E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травня</w:t>
      </w:r>
      <w:r w:rsidRPr="00966EDC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66EDC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  <w:lang w:val="uk-UA"/>
        </w:rPr>
        <w:t>оку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 w:eastAsia="uk-UA"/>
        </w:rPr>
        <w:t xml:space="preserve"> 220,0</w:t>
      </w:r>
      <w:r w:rsidRPr="00966EDC">
        <w:rPr>
          <w:color w:val="000000"/>
          <w:sz w:val="28"/>
          <w:szCs w:val="28"/>
          <w:lang w:val="uk-UA" w:eastAsia="uk-UA"/>
        </w:rPr>
        <w:t xml:space="preserve"> </w:t>
      </w:r>
      <w:r w:rsidRPr="00D13990">
        <w:rPr>
          <w:color w:val="000000"/>
          <w:sz w:val="28"/>
          <w:szCs w:val="28"/>
          <w:lang w:val="uk-UA" w:eastAsia="uk-UA"/>
        </w:rPr>
        <w:t>%</w:t>
      </w:r>
      <w:r w:rsidR="00A8669C">
        <w:rPr>
          <w:color w:val="000000"/>
          <w:sz w:val="28"/>
          <w:szCs w:val="28"/>
          <w:lang w:val="uk-UA" w:eastAsia="uk-UA"/>
        </w:rPr>
        <w:t xml:space="preserve"> (</w:t>
      </w:r>
      <w:r w:rsidR="00704DDD">
        <w:rPr>
          <w:color w:val="000000"/>
          <w:sz w:val="28"/>
          <w:szCs w:val="28"/>
          <w:lang w:val="uk-UA" w:eastAsia="uk-UA"/>
        </w:rPr>
        <w:t>січень-травень 2015 року до січня-травня 2014 року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432982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3,</w:t>
      </w:r>
      <w:r w:rsidR="00432982">
        <w:rPr>
          <w:color w:val="000000"/>
          <w:sz w:val="28"/>
          <w:szCs w:val="28"/>
          <w:lang w:val="uk-UA" w:eastAsia="uk-UA"/>
        </w:rPr>
        <w:t>0 % (</w:t>
      </w:r>
      <w:r w:rsidR="00AB1023">
        <w:rPr>
          <w:color w:val="000000"/>
          <w:sz w:val="28"/>
          <w:szCs w:val="28"/>
          <w:lang w:val="uk-UA" w:eastAsia="uk-UA"/>
        </w:rPr>
        <w:t xml:space="preserve">графік </w:t>
      </w:r>
      <w:r w:rsidR="00432982">
        <w:rPr>
          <w:color w:val="000000"/>
          <w:sz w:val="28"/>
          <w:szCs w:val="28"/>
          <w:lang w:val="uk-UA" w:eastAsia="uk-UA"/>
        </w:rPr>
        <w:t>3)</w:t>
      </w:r>
      <w:r w:rsidR="00A8669C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F30555" w:rsidRPr="0058587C" w:rsidRDefault="00AB1023" w:rsidP="004F0E83">
      <w:pPr>
        <w:tabs>
          <w:tab w:val="left" w:pos="709"/>
          <w:tab w:val="left" w:pos="851"/>
        </w:tabs>
        <w:ind w:firstLine="709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Графік</w:t>
      </w:r>
      <w:r w:rsidR="009810EE">
        <w:rPr>
          <w:color w:val="000000"/>
          <w:sz w:val="28"/>
          <w:szCs w:val="28"/>
          <w:lang w:val="uk-UA" w:eastAsia="uk-UA"/>
        </w:rPr>
        <w:t xml:space="preserve"> </w:t>
      </w:r>
      <w:r w:rsidR="009846FA">
        <w:rPr>
          <w:color w:val="000000"/>
          <w:sz w:val="28"/>
          <w:szCs w:val="28"/>
          <w:lang w:val="uk-UA" w:eastAsia="uk-UA"/>
        </w:rPr>
        <w:t>1</w:t>
      </w:r>
    </w:p>
    <w:p w:rsidR="00962E1B" w:rsidRPr="00840D05" w:rsidRDefault="009846FA" w:rsidP="00840D05">
      <w:pPr>
        <w:rPr>
          <w:lang w:val="uk-UA"/>
        </w:rPr>
      </w:pPr>
      <w:r w:rsidRPr="009846FA">
        <w:rPr>
          <w:noProof/>
          <w:lang w:val="uk-UA" w:eastAsia="uk-UA"/>
        </w:rPr>
        <w:drawing>
          <wp:inline distT="0" distB="0" distL="0" distR="0">
            <wp:extent cx="6076950" cy="2924175"/>
            <wp:effectExtent l="76200" t="19050" r="38100" b="2857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0D05" w:rsidRPr="00840D05" w:rsidRDefault="00840D05" w:rsidP="000C594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right="-92" w:firstLine="709"/>
        <w:jc w:val="both"/>
        <w:rPr>
          <w:color w:val="000000"/>
          <w:sz w:val="16"/>
          <w:szCs w:val="16"/>
          <w:lang w:val="uk-UA" w:eastAsia="uk-UA"/>
        </w:rPr>
      </w:pPr>
    </w:p>
    <w:p w:rsidR="005757C1" w:rsidRPr="00962E1B" w:rsidRDefault="00AB1023" w:rsidP="004F0E8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firstLine="709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Графік </w:t>
      </w:r>
      <w:r w:rsidR="009846FA" w:rsidRPr="00962E1B">
        <w:rPr>
          <w:color w:val="000000"/>
          <w:sz w:val="28"/>
          <w:szCs w:val="28"/>
          <w:lang w:val="uk-UA" w:eastAsia="uk-UA"/>
        </w:rPr>
        <w:t>2</w:t>
      </w:r>
    </w:p>
    <w:p w:rsidR="009846FA" w:rsidRPr="004B4A7A" w:rsidRDefault="009846FA" w:rsidP="004B4A7A">
      <w:pPr>
        <w:tabs>
          <w:tab w:val="left" w:pos="709"/>
          <w:tab w:val="left" w:pos="851"/>
        </w:tabs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9846FA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6076950" cy="3048000"/>
            <wp:effectExtent l="76200" t="19050" r="57150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E1B" w:rsidRDefault="009846FA" w:rsidP="009846FA">
      <w:pPr>
        <w:tabs>
          <w:tab w:val="left" w:pos="1785"/>
        </w:tabs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ab/>
      </w:r>
    </w:p>
    <w:p w:rsidR="00DE085D" w:rsidRDefault="00AB1023" w:rsidP="00425B6C">
      <w:pPr>
        <w:ind w:firstLine="709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Графік </w:t>
      </w:r>
      <w:r w:rsidR="00C64501" w:rsidRPr="00D350E9">
        <w:rPr>
          <w:sz w:val="28"/>
          <w:szCs w:val="28"/>
          <w:lang w:eastAsia="uk-UA"/>
        </w:rPr>
        <w:t>3</w:t>
      </w:r>
      <w:r w:rsidR="009846FA" w:rsidRPr="009846FA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6000750" cy="3009900"/>
            <wp:effectExtent l="76200" t="19050" r="38100" b="1905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5B6C" w:rsidRPr="00425B6C" w:rsidRDefault="00425B6C" w:rsidP="00425B6C">
      <w:pPr>
        <w:ind w:firstLine="709"/>
        <w:jc w:val="center"/>
        <w:rPr>
          <w:sz w:val="16"/>
          <w:szCs w:val="16"/>
          <w:lang w:val="uk-UA" w:eastAsia="uk-UA"/>
        </w:rPr>
      </w:pPr>
    </w:p>
    <w:p w:rsidR="00DE085D" w:rsidRDefault="00DE085D" w:rsidP="00DE085D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Обсяг реалізованої промислової продукції області за січень-травень 2016 року без урахування частини зони проведення антитерористичної операції становив</w:t>
      </w:r>
      <w:r w:rsidRPr="00B1148F">
        <w:rPr>
          <w:color w:val="000000"/>
          <w:sz w:val="28"/>
          <w:szCs w:val="28"/>
          <w:lang w:eastAsia="uk-UA"/>
        </w:rPr>
        <w:t xml:space="preserve">  </w:t>
      </w:r>
      <w:r w:rsidRPr="00E77510">
        <w:rPr>
          <w:color w:val="000000"/>
          <w:sz w:val="28"/>
          <w:szCs w:val="28"/>
          <w:lang w:val="uk-UA" w:eastAsia="uk-UA"/>
        </w:rPr>
        <w:t>16346,3</w:t>
      </w:r>
      <w:r>
        <w:rPr>
          <w:color w:val="000000"/>
          <w:sz w:val="28"/>
          <w:szCs w:val="28"/>
          <w:lang w:val="uk-UA" w:eastAsia="uk-UA"/>
        </w:rPr>
        <w:t xml:space="preserve"> млн грн, що складає 2,5 % до всієї продукції по Україні. В порівнянні з аналогічним періодом 2015 року обсяг реалізованої промислової продукції області з урахуванням індексу цін виробників промислової продукції (у порівняних цінах) зріс на 7450,3 млн грн.</w:t>
      </w:r>
    </w:p>
    <w:p w:rsidR="00DE085D" w:rsidRDefault="00DE085D" w:rsidP="00DE085D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 травень 2016 року цей показник – </w:t>
      </w:r>
      <w:r w:rsidRPr="003F0CA9">
        <w:rPr>
          <w:color w:val="000000"/>
          <w:sz w:val="28"/>
          <w:szCs w:val="28"/>
          <w:lang w:val="uk-UA" w:eastAsia="uk-UA"/>
        </w:rPr>
        <w:t>3374,1</w:t>
      </w:r>
      <w:r>
        <w:rPr>
          <w:color w:val="000000"/>
          <w:sz w:val="28"/>
          <w:szCs w:val="28"/>
          <w:lang w:val="uk-UA" w:eastAsia="uk-UA"/>
        </w:rPr>
        <w:t xml:space="preserve"> млн грн. В порівнянні з аналогічним періодом 2015 року обсяг реалізованої промислової продукції області у порівняних цінах зріс на 1479,2 млн грн.</w:t>
      </w:r>
    </w:p>
    <w:p w:rsidR="00425B6C" w:rsidRDefault="00425B6C" w:rsidP="00DE085D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E085D" w:rsidRPr="00DE085D" w:rsidRDefault="00DE085D" w:rsidP="00DE085D">
      <w:pPr>
        <w:tabs>
          <w:tab w:val="left" w:pos="709"/>
          <w:tab w:val="left" w:pos="851"/>
        </w:tabs>
        <w:spacing w:line="360" w:lineRule="auto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DE085D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6038850" cy="3295650"/>
            <wp:effectExtent l="57150" t="19050" r="381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E085D" w:rsidRPr="00DE085D" w:rsidSect="0057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533A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586D"/>
    <w:rsid w:val="00473FDB"/>
    <w:rsid w:val="00475320"/>
    <w:rsid w:val="00480345"/>
    <w:rsid w:val="00481EC3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223C"/>
    <w:rsid w:val="00582B4B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EDC"/>
    <w:rsid w:val="005F4C51"/>
    <w:rsid w:val="005F7231"/>
    <w:rsid w:val="0060218C"/>
    <w:rsid w:val="00611897"/>
    <w:rsid w:val="006164A5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B7D"/>
    <w:rsid w:val="00660C18"/>
    <w:rsid w:val="00665395"/>
    <w:rsid w:val="00666B01"/>
    <w:rsid w:val="00674C88"/>
    <w:rsid w:val="0067712B"/>
    <w:rsid w:val="00677601"/>
    <w:rsid w:val="006777BA"/>
    <w:rsid w:val="00680E65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6147B"/>
    <w:rsid w:val="00761B88"/>
    <w:rsid w:val="0076563C"/>
    <w:rsid w:val="00766C96"/>
    <w:rsid w:val="007674F8"/>
    <w:rsid w:val="00767B99"/>
    <w:rsid w:val="0077596E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8F"/>
    <w:rsid w:val="009325E7"/>
    <w:rsid w:val="00932C62"/>
    <w:rsid w:val="009335B1"/>
    <w:rsid w:val="009379B0"/>
    <w:rsid w:val="009477E2"/>
    <w:rsid w:val="00953B10"/>
    <w:rsid w:val="009546E6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5B30"/>
    <w:rsid w:val="009C5C2A"/>
    <w:rsid w:val="009C66CD"/>
    <w:rsid w:val="009C7472"/>
    <w:rsid w:val="009D0B6F"/>
    <w:rsid w:val="009D4F9B"/>
    <w:rsid w:val="009D7FA1"/>
    <w:rsid w:val="009E5B35"/>
    <w:rsid w:val="009E76D1"/>
    <w:rsid w:val="009E7B6A"/>
    <w:rsid w:val="009F5CE6"/>
    <w:rsid w:val="00A00837"/>
    <w:rsid w:val="00A04508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B3D"/>
    <w:rsid w:val="00A27ABB"/>
    <w:rsid w:val="00A30571"/>
    <w:rsid w:val="00A32909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77A"/>
    <w:rsid w:val="00AD2941"/>
    <w:rsid w:val="00AD699E"/>
    <w:rsid w:val="00AE4E92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7B8"/>
    <w:rsid w:val="00B43A49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4039"/>
    <w:rsid w:val="00BF53EC"/>
    <w:rsid w:val="00BF5CCC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776A"/>
    <w:rsid w:val="00CE0231"/>
    <w:rsid w:val="00CE6E88"/>
    <w:rsid w:val="00CE716C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63B7"/>
    <w:rsid w:val="00D46AD2"/>
    <w:rsid w:val="00D54398"/>
    <w:rsid w:val="00D65AE6"/>
    <w:rsid w:val="00D729C1"/>
    <w:rsid w:val="00D73F97"/>
    <w:rsid w:val="00D76AFC"/>
    <w:rsid w:val="00D801D0"/>
    <w:rsid w:val="00D80989"/>
    <w:rsid w:val="00D81A7D"/>
    <w:rsid w:val="00D83A6A"/>
    <w:rsid w:val="00D83EC7"/>
    <w:rsid w:val="00D8592A"/>
    <w:rsid w:val="00D86043"/>
    <w:rsid w:val="00D90D1F"/>
    <w:rsid w:val="00D91CE5"/>
    <w:rsid w:val="00D9260F"/>
    <w:rsid w:val="00D92D2A"/>
    <w:rsid w:val="00D95127"/>
    <w:rsid w:val="00D96E5C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1%20&#1076;&#1086;%20&#1087;&#1086;&#1087;&#1077;&#1088;%20&#1084;&#1110;&#1089;%20&#1087;&#1086;&#1090;&#1086;&#1095;%20&#1088;&#1086;&#1082;&#1091;%20&#1083;&#1102;&#1090;&#1080;&#1081;%2016%20&#1082;%20&#1089;&#1110;&#1095;&#1085;&#1102;%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2%20&#1076;&#1086;%20&#1074;&#1110;&#1076;&#1087;%20&#1084;&#1110;&#1089;%20&#1087;&#1088;&#1077;&#1076;%20&#1088;&#1086;&#1082;&#1091;%20&#1083;&#1102;&#1090;&#1080;&#1081;%2016%20&#1082;%20&#1083;&#1102;&#1090;&#1086;&#1084;&#1091;%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3%20&#1079;&#1072;%20&#1087;&#1077;&#1088;&#1110;&#1086;&#1076;%20&#1089;&#1110;&#1095;&#1077;&#1085;&#1100;-&#1083;&#1102;&#1090;&#1080;&#1081;%2016%20&#1082;%20&#1089;&#1110;&#1095;&#1085;&#1102;-&#1083;&#1102;&#1090;&#1086;&#1084;&#1091;%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lang="ru-RU"/>
            </a:pPr>
            <a:r>
              <a:rPr lang="ru-RU" sz="1400"/>
              <a:t>Індекси промислової продукції</a:t>
            </a:r>
            <a:r>
              <a:rPr lang="en-US" sz="1400"/>
              <a:t> </a:t>
            </a:r>
            <a:r>
              <a:rPr lang="uk-UA" sz="1400"/>
              <a:t> за місяць  </a:t>
            </a:r>
          </a:p>
          <a:p>
            <a:pPr algn="ctr">
              <a:defRPr lang="ru-RU"/>
            </a:pPr>
            <a:r>
              <a:rPr lang="uk-UA" sz="1400"/>
              <a:t>до попереднього місяця</a:t>
            </a:r>
            <a:endParaRPr lang="ru-RU" sz="1400"/>
          </a:p>
        </c:rich>
      </c:tx>
      <c:layout>
        <c:manualLayout>
          <c:xMode val="edge"/>
          <c:yMode val="edge"/>
          <c:x val="0.23347962382445142"/>
          <c:y val="1.5276103516376409E-3"/>
        </c:manualLayout>
      </c:layout>
    </c:title>
    <c:plotArea>
      <c:layout>
        <c:manualLayout>
          <c:layoutTarget val="inner"/>
          <c:xMode val="edge"/>
          <c:yMode val="edge"/>
          <c:x val="0.13275096882482171"/>
          <c:y val="0.21524087990629875"/>
          <c:w val="0.79316811887542249"/>
          <c:h val="0.54697423933119727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</c:dLbl>
            <c:dLbl>
              <c:idx val="1"/>
              <c:layout>
                <c:manualLayout>
                  <c:x val="-3.7969614741060212E-2"/>
                  <c:y val="-5.31360927067028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33417054635267E-2"/>
                  <c:y val="-5.61278936202192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506561073777992E-2"/>
                  <c:y val="6.96989190586787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8619006129997569E-2"/>
                  <c:y val="6.49839634123878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0"/>
                  <c:y val="-4.2389210019267834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3.4682080924855578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4.0896527775817579E-2"/>
                  <c:y val="4.6242774566473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57695272027123E-2"/>
                  <c:y val="6.936416184971247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2016799308887458E-2"/>
                  <c:y val="-3.468208092485557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896351327317143E-2"/>
                  <c:y val="4.3835616438356276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ctr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88</c:v>
                </c:pt>
                <c:pt idx="1">
                  <c:v>112</c:v>
                </c:pt>
                <c:pt idx="2">
                  <c:v>111</c:v>
                </c:pt>
                <c:pt idx="3">
                  <c:v>90</c:v>
                </c:pt>
                <c:pt idx="4">
                  <c:v>91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1"/>
              <c:layout>
                <c:manualLayout>
                  <c:x val="-2.5179849775650628E-2"/>
                  <c:y val="5.69358363690961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33417054635267E-2"/>
                  <c:y val="-6.728780661802276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819912583376484E-2"/>
                  <c:y val="-6.314701851845205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22561576856686E-2"/>
                  <c:y val="-5.486544231931091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92846736116195E-2"/>
                  <c:y val="-6.728780661802276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63131895375749E-2"/>
                  <c:y val="-5.486544231931093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7671338379674126E-2"/>
                  <c:y val="-6.728780661802276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92846736116195E-2"/>
                  <c:y val="-5.486544231931093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33417054635267E-2"/>
                  <c:y val="-5.486544231931093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2562783601887827E-2"/>
                  <c:y val="-5.4865442319310932E-2"/>
                </c:manualLayout>
              </c:layout>
              <c:dLblPos val="r"/>
              <c:showVal val="1"/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b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68</c:v>
                </c:pt>
                <c:pt idx="1">
                  <c:v>88</c:v>
                </c:pt>
                <c:pt idx="2">
                  <c:v>96</c:v>
                </c:pt>
                <c:pt idx="3">
                  <c:v>108</c:v>
                </c:pt>
                <c:pt idx="4">
                  <c:v>114</c:v>
                </c:pt>
                <c:pt idx="5">
                  <c:v>120</c:v>
                </c:pt>
                <c:pt idx="6">
                  <c:v>112</c:v>
                </c:pt>
                <c:pt idx="7">
                  <c:v>115</c:v>
                </c:pt>
                <c:pt idx="8">
                  <c:v>98</c:v>
                </c:pt>
                <c:pt idx="9">
                  <c:v>112</c:v>
                </c:pt>
                <c:pt idx="10">
                  <c:v>116</c:v>
                </c:pt>
                <c:pt idx="11">
                  <c:v>98</c:v>
                </c:pt>
              </c:numCache>
            </c:numRef>
          </c:val>
        </c:ser>
        <c:dLbls>
          <c:showVal val="1"/>
        </c:dLbls>
        <c:marker val="1"/>
        <c:axId val="45629440"/>
        <c:axId val="45630976"/>
      </c:lineChart>
      <c:catAx>
        <c:axId val="45629440"/>
        <c:scaling>
          <c:orientation val="minMax"/>
        </c:scaling>
        <c:delete val="1"/>
        <c:axPos val="b"/>
        <c:tickLblPos val="none"/>
        <c:crossAx val="45630976"/>
        <c:crosses val="autoZero"/>
        <c:auto val="1"/>
        <c:lblAlgn val="ctr"/>
        <c:lblOffset val="100"/>
      </c:catAx>
      <c:valAx>
        <c:axId val="45630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562944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uk-UA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Індекси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промислової продукції до аналогічного періоду попереднього року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362073079423071"/>
          <c:y val="0"/>
        </c:manualLayout>
      </c:layout>
    </c:title>
    <c:plotArea>
      <c:layout>
        <c:manualLayout>
          <c:layoutTarget val="inner"/>
          <c:xMode val="edge"/>
          <c:yMode val="edge"/>
          <c:x val="0.14436130644481604"/>
          <c:y val="0.20589253175303934"/>
          <c:w val="0.79646388924013156"/>
          <c:h val="0.47783843688665034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2016/2015 рр.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</c:dLbl>
            <c:dLbl>
              <c:idx val="1"/>
              <c:layout>
                <c:manualLayout>
                  <c:x val="-5.2450956098059547E-2"/>
                  <c:y val="-6.555878305172203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686255664849867E-2"/>
                  <c:y val="-6.02686817197899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280056223534249E-2"/>
                  <c:y val="-8.351024062543506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680704023141592E-2"/>
                  <c:y val="-8.822552231803398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0"/>
                  <c:y val="-4.238921001926781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3.4682080924855488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57695272027039E-2"/>
                  <c:y val="6.936416184971233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2016799308887361E-2"/>
                  <c:y val="-3.46820809248554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896351327317067E-2"/>
                  <c:y val="4.383561643835613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183</c:v>
                </c:pt>
                <c:pt idx="1">
                  <c:v>249</c:v>
                </c:pt>
                <c:pt idx="2">
                  <c:v>274</c:v>
                </c:pt>
                <c:pt idx="3">
                  <c:v>225</c:v>
                </c:pt>
                <c:pt idx="4">
                  <c:v>183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2015/2014 рр.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14</c:v>
                </c:pt>
                <c:pt idx="5">
                  <c:v>22</c:v>
                </c:pt>
                <c:pt idx="6">
                  <c:v>41</c:v>
                </c:pt>
                <c:pt idx="7">
                  <c:v>141</c:v>
                </c:pt>
                <c:pt idx="8">
                  <c:v>113</c:v>
                </c:pt>
                <c:pt idx="9">
                  <c:v>123</c:v>
                </c:pt>
                <c:pt idx="10">
                  <c:v>161</c:v>
                </c:pt>
                <c:pt idx="11">
                  <c:v>167</c:v>
                </c:pt>
              </c:numCache>
            </c:numRef>
          </c:val>
        </c:ser>
        <c:dLbls>
          <c:showVal val="1"/>
        </c:dLbls>
        <c:marker val="1"/>
        <c:axId val="46071808"/>
        <c:axId val="46073344"/>
      </c:lineChart>
      <c:catAx>
        <c:axId val="46071808"/>
        <c:scaling>
          <c:orientation val="minMax"/>
        </c:scaling>
        <c:delete val="1"/>
        <c:axPos val="b"/>
        <c:tickLblPos val="none"/>
        <c:crossAx val="46073344"/>
        <c:crosses val="autoZero"/>
        <c:auto val="1"/>
        <c:lblAlgn val="ctr"/>
        <c:lblOffset val="100"/>
      </c:catAx>
      <c:valAx>
        <c:axId val="46073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607180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Індекси промислової продукції: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січень-травень 2016 р. до січня-травня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2015 р.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76686247552391"/>
          <c:y val="2.1588757101564842E-3"/>
        </c:manualLayout>
      </c:layout>
    </c:title>
    <c:plotArea>
      <c:layout>
        <c:manualLayout>
          <c:layoutTarget val="inner"/>
          <c:xMode val="edge"/>
          <c:yMode val="edge"/>
          <c:x val="9.5401770430870073E-2"/>
          <c:y val="0.17518513575633629"/>
          <c:w val="0.84801992142286553"/>
          <c:h val="0.4778384368866504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</c:dLbl>
            <c:dLbl>
              <c:idx val="1"/>
              <c:layout>
                <c:manualLayout>
                  <c:x val="-4.3915343915343914E-2"/>
                  <c:y val="5.890096016478947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15343915343914E-2"/>
                  <c:y val="5.61450546529784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408959631406151E-3"/>
                  <c:y val="-4.624307799675330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2.2408959631406151E-3"/>
                  <c:y val="-3.8535645472062105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4.238921001926781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3.4682080924855488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57695272027039E-2"/>
                  <c:y val="6.936416184971236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2016799308887375E-2"/>
                  <c:y val="-3.46820809248554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896351327317081E-2"/>
                  <c:y val="4.383561643835613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пром'!$B$35:$L$35</c:f>
              <c:numCache>
                <c:formatCode>0.0</c:formatCode>
                <c:ptCount val="11"/>
                <c:pt idx="0">
                  <c:v>213</c:v>
                </c:pt>
                <c:pt idx="1">
                  <c:v>232</c:v>
                </c:pt>
                <c:pt idx="2">
                  <c:v>230</c:v>
                </c:pt>
                <c:pt idx="3">
                  <c:v>220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пром'!$B$36:$L$36</c:f>
              <c:numCache>
                <c:formatCode>0.0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23</c:v>
                </c:pt>
                <c:pt idx="8">
                  <c:v>27</c:v>
                </c:pt>
                <c:pt idx="9">
                  <c:v>30</c:v>
                </c:pt>
                <c:pt idx="10">
                  <c:v>34</c:v>
                </c:pt>
              </c:numCache>
            </c:numRef>
          </c:val>
        </c:ser>
        <c:dLbls>
          <c:showVal val="1"/>
        </c:dLbls>
        <c:marker val="1"/>
        <c:axId val="46103936"/>
        <c:axId val="46490752"/>
      </c:lineChart>
      <c:catAx>
        <c:axId val="46103936"/>
        <c:scaling>
          <c:orientation val="minMax"/>
        </c:scaling>
        <c:delete val="1"/>
        <c:axPos val="b"/>
        <c:tickLblPos val="none"/>
        <c:crossAx val="46490752"/>
        <c:crosses val="autoZero"/>
        <c:auto val="1"/>
        <c:lblAlgn val="ctr"/>
        <c:lblOffset val="100"/>
      </c:catAx>
      <c:valAx>
        <c:axId val="46490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6103936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txPr>
        <a:bodyPr/>
        <a:lstStyle/>
        <a:p>
          <a:pPr>
            <a:defRPr lang="ru-RU"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9"/>
  <c:chart>
    <c:title>
      <c:tx>
        <c:rich>
          <a:bodyPr/>
          <a:lstStyle/>
          <a:p>
            <a:pPr>
              <a:defRPr lang="ru-RU"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Обсяг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реалізованої промислової продукції</a:t>
            </a:r>
          </a:p>
          <a:p>
            <a:pPr>
              <a:defRPr lang="ru-RU" sz="1400"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 2016/2015 роках, млн грн</a:t>
            </a:r>
          </a:p>
        </c:rich>
      </c:tx>
    </c:title>
    <c:plotArea>
      <c:layout>
        <c:manualLayout>
          <c:layoutTarget val="inner"/>
          <c:xMode val="edge"/>
          <c:yMode val="edge"/>
          <c:x val="8.3047765716982691E-2"/>
          <c:y val="0.19605206863592919"/>
          <c:w val="0.85921657269182061"/>
          <c:h val="0.5257244094488219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spPr>
            <a:ln w="50800"/>
          </c:spPr>
          <c:marker>
            <c:symbol val="diamond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8603257926092706E-2"/>
                  <c:y val="-6.889822105570195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439236762071623E-2"/>
                  <c:y val="5.778710994459055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2836062158897031E-2"/>
                  <c:y val="4.317902291199108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137649460484065E-2"/>
                  <c:y val="4.6368696666539894E-2"/>
                </c:manualLayout>
              </c:layout>
              <c:dLblPos val="r"/>
              <c:showVal val="1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 cmpd="dbl">
                <a:solidFill>
                  <a:srgbClr val="4F81BD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/>
                </a:pPr>
                <a:endParaRPr lang="uk-UA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2817.4</c:v>
                </c:pt>
                <c:pt idx="1">
                  <c:v>3203.4</c:v>
                </c:pt>
                <c:pt idx="2">
                  <c:v>3792.8</c:v>
                </c:pt>
                <c:pt idx="3">
                  <c:v>3158.6</c:v>
                </c:pt>
                <c:pt idx="4">
                  <c:v>3374.1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marker>
            <c:symbol val="circle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6031746031746104E-2"/>
                  <c:y val="-5.2334943639291594E-2"/>
                </c:manualLayout>
              </c:layout>
              <c:dLblPos val="r"/>
              <c:showVal val="1"/>
            </c:dLbl>
            <c:dLbl>
              <c:idx val="1"/>
              <c:dLblPos val="b"/>
              <c:showVal val="1"/>
            </c:dLbl>
            <c:dLbl>
              <c:idx val="3"/>
              <c:dLblPos val="b"/>
              <c:showVal val="1"/>
            </c:dLbl>
            <c:dLbl>
              <c:idx val="4"/>
              <c:layout>
                <c:manualLayout>
                  <c:x val="-5.8730158730158716E-2"/>
                  <c:y val="-4.911433172302766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1798941798941933E-2"/>
                  <c:y val="4.911433172302766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031746031746132E-2"/>
                  <c:y val="4.911433172302766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6613756613756526E-2"/>
                  <c:y val="-5.233494363929159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031746031746104E-2"/>
                  <c:y val="5.555555555555545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0541182352206004E-2"/>
                  <c:y val="4.9114331723027663E-2"/>
                </c:manualLayout>
              </c:layout>
              <c:dLblPos val="r"/>
              <c:showVal val="1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1501.6</c:v>
                </c:pt>
                <c:pt idx="1">
                  <c:v>1183.4000000000001</c:v>
                </c:pt>
                <c:pt idx="2">
                  <c:v>1343.9</c:v>
                </c:pt>
                <c:pt idx="3">
                  <c:v>1327.8</c:v>
                </c:pt>
                <c:pt idx="4">
                  <c:v>1419.5</c:v>
                </c:pt>
                <c:pt idx="5">
                  <c:v>1838.3</c:v>
                </c:pt>
                <c:pt idx="6">
                  <c:v>2239.9</c:v>
                </c:pt>
                <c:pt idx="7">
                  <c:v>2532.3000000000002</c:v>
                </c:pt>
                <c:pt idx="8">
                  <c:v>2420.4</c:v>
                </c:pt>
                <c:pt idx="9">
                  <c:v>2932.3</c:v>
                </c:pt>
                <c:pt idx="10">
                  <c:v>3053.6</c:v>
                </c:pt>
                <c:pt idx="11">
                  <c:v>3073.7</c:v>
                </c:pt>
              </c:numCache>
            </c:numRef>
          </c:val>
        </c:ser>
        <c:marker val="1"/>
        <c:axId val="46418176"/>
        <c:axId val="46064768"/>
      </c:lineChart>
      <c:catAx>
        <c:axId val="464181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 sz="900"/>
            </a:pPr>
            <a:endParaRPr lang="uk-UA"/>
          </a:p>
        </c:txPr>
        <c:crossAx val="46064768"/>
        <c:crosses val="autoZero"/>
        <c:auto val="1"/>
        <c:lblAlgn val="ctr"/>
        <c:lblOffset val="100"/>
      </c:catAx>
      <c:valAx>
        <c:axId val="46064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641817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 w="12700" cmpd="thickThin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0.32441911427738346"/>
          <c:y val="0.91186922589583452"/>
          <c:w val="0.35116177144523608"/>
          <c:h val="6.6910614952972125E-2"/>
        </c:manualLayout>
      </c:layout>
      <c:txPr>
        <a:bodyPr/>
        <a:lstStyle/>
        <a:p>
          <a:pPr>
            <a:defRPr lang="ru-RU"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solidFill>
      <a:schemeClr val="tx2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0.85404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8121" y="2107859"/>
          <a:ext cx="4670174" cy="511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0.12144</cdr:x>
      <cdr:y>0.76574</cdr:y>
    </cdr:from>
    <cdr:to>
      <cdr:x>0.20086</cdr:x>
      <cdr:y>0.95493</cdr:y>
    </cdr:to>
    <cdr:sp macro="" textlink="">
      <cdr:nvSpPr>
        <cdr:cNvPr id="4" name="TextBox 3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737993" y="2239147"/>
          <a:ext cx="482632" cy="553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  <a:endParaRPr lang="ru-RU" sz="800" b="0"/>
        </a:p>
      </cdr:txBody>
    </cdr:sp>
  </cdr:relSizeAnchor>
  <cdr:relSizeAnchor xmlns:cdr="http://schemas.openxmlformats.org/drawingml/2006/chartDrawing">
    <cdr:from>
      <cdr:x>0.18125</cdr:x>
      <cdr:y>0.76499</cdr:y>
    </cdr:from>
    <cdr:to>
      <cdr:x>0.26489</cdr:x>
      <cdr:y>0.99665</cdr:y>
    </cdr:to>
    <cdr:sp macro="" textlink="">
      <cdr:nvSpPr>
        <cdr:cNvPr id="6" name="TextBox 5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1101456" y="2236954"/>
          <a:ext cx="508276" cy="677414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21594000"/>
          </a:camera>
          <a:lightRig rig="threePt" dir="t"/>
        </a:scene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0.24609</cdr:x>
      <cdr:y>0.7661</cdr:y>
    </cdr:from>
    <cdr:to>
      <cdr:x>0.34797</cdr:x>
      <cdr:y>0.97299</cdr:y>
    </cdr:to>
    <cdr:sp macro="" textlink="">
      <cdr:nvSpPr>
        <cdr:cNvPr id="7" name="TextBox 6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1495485" y="2240200"/>
          <a:ext cx="619120" cy="604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0.33784</cdr:x>
      <cdr:y>0.76459</cdr:y>
    </cdr:from>
    <cdr:to>
      <cdr:x>0.41031</cdr:x>
      <cdr:y>0.9563</cdr:y>
    </cdr:to>
    <cdr:sp macro="" textlink="">
      <cdr:nvSpPr>
        <cdr:cNvPr id="9" name="TextBox 8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2053045" y="2235784"/>
          <a:ext cx="440397" cy="560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  <a:endParaRPr lang="ru-RU" sz="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0.40977</cdr:x>
      <cdr:y>0.7703</cdr:y>
    </cdr:from>
    <cdr:to>
      <cdr:x>0.46169</cdr:x>
      <cdr:y>0.95792</cdr:y>
    </cdr:to>
    <cdr:sp macro="" textlink="">
      <cdr:nvSpPr>
        <cdr:cNvPr id="11" name="TextBox 10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2490160" y="2252481"/>
          <a:ext cx="315515" cy="548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травень </a:t>
          </a:r>
          <a:endParaRPr lang="en-US" sz="800" b="1">
            <a:latin typeface="+mn-lt"/>
            <a:ea typeface="+mn-ea"/>
            <a:cs typeface="+mn-cs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0.4726</cdr:x>
      <cdr:y>0.7734</cdr:y>
    </cdr:from>
    <cdr:to>
      <cdr:x>0.52451</cdr:x>
      <cdr:y>0.9411</cdr:y>
    </cdr:to>
    <cdr:sp macro="" textlink="">
      <cdr:nvSpPr>
        <cdr:cNvPr id="1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2871975" y="2261546"/>
          <a:ext cx="315454" cy="490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pPr marL="0" indent="0" algn="ctr"/>
          <a:endParaRPr lang="ru-RU" sz="8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0.53732</cdr:x>
      <cdr:y>0.77684</cdr:y>
    </cdr:from>
    <cdr:to>
      <cdr:x>0.58924</cdr:x>
      <cdr:y>0.94454</cdr:y>
    </cdr:to>
    <cdr:sp macro="" textlink="">
      <cdr:nvSpPr>
        <cdr:cNvPr id="13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3265275" y="2271606"/>
          <a:ext cx="315515" cy="490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0.60321</cdr:x>
      <cdr:y>0.77314</cdr:y>
    </cdr:from>
    <cdr:to>
      <cdr:x>0.65512</cdr:x>
      <cdr:y>0.94084</cdr:y>
    </cdr:to>
    <cdr:sp macro="" textlink="">
      <cdr:nvSpPr>
        <cdr:cNvPr id="14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3665685" y="2260786"/>
          <a:ext cx="315455" cy="490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серпень </a:t>
          </a:r>
          <a:endParaRPr lang="en-US" sz="800" b="1">
            <a:latin typeface="Calibri"/>
          </a:endParaRPr>
        </a:p>
        <a:p xmlns:a="http://schemas.openxmlformats.org/drawingml/2006/main">
          <a:pPr marL="0" indent="0" algn="ctr"/>
          <a:r>
            <a:rPr lang="ru-RU" sz="800" b="1">
              <a:latin typeface="Calibri"/>
            </a:rPr>
            <a:t>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0.67647</cdr:x>
      <cdr:y>0.7677</cdr:y>
    </cdr:from>
    <cdr:to>
      <cdr:x>0.72839</cdr:x>
      <cdr:y>0.9354</cdr:y>
    </cdr:to>
    <cdr:sp macro="" textlink="">
      <cdr:nvSpPr>
        <cdr:cNvPr id="15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4110883" y="2244879"/>
          <a:ext cx="315515" cy="490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вересень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0.74486</cdr:x>
      <cdr:y>0.77067</cdr:y>
    </cdr:from>
    <cdr:to>
      <cdr:x>0.79678</cdr:x>
      <cdr:y>0.93837</cdr:y>
    </cdr:to>
    <cdr:sp macro="" textlink="">
      <cdr:nvSpPr>
        <cdr:cNvPr id="16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4526485" y="2253563"/>
          <a:ext cx="315516" cy="490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жовтень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0.81638</cdr:x>
      <cdr:y>0.76531</cdr:y>
    </cdr:from>
    <cdr:to>
      <cdr:x>0.8683</cdr:x>
      <cdr:y>0.933</cdr:y>
    </cdr:to>
    <cdr:sp macro="" textlink="">
      <cdr:nvSpPr>
        <cdr:cNvPr id="17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4961109" y="2237890"/>
          <a:ext cx="315515" cy="4903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листопад</a:t>
          </a:r>
          <a:r>
            <a:rPr lang="ru-RU" sz="800" b="1" baseline="0">
              <a:latin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0.88378</cdr:x>
      <cdr:y>0.76496</cdr:y>
    </cdr:from>
    <cdr:to>
      <cdr:x>0.93569</cdr:x>
      <cdr:y>0.93266</cdr:y>
    </cdr:to>
    <cdr:sp macro="" textlink="">
      <cdr:nvSpPr>
        <cdr:cNvPr id="18" name="TextBox 1"/>
        <cdr:cNvSpPr txBox="1">
          <a:spLocks xmlns:a="http://schemas.openxmlformats.org/drawingml/2006/main"/>
        </cdr:cNvSpPr>
      </cdr:nvSpPr>
      <cdr:spPr>
        <a:xfrm xmlns:a="http://schemas.openxmlformats.org/drawingml/2006/main" rot="-1620000">
          <a:off x="5370695" y="2236866"/>
          <a:ext cx="315455" cy="490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грудень </a:t>
          </a:r>
          <a:endParaRPr lang="en-US" sz="800" b="1"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0.14106</cdr:x>
      <cdr:y>0.68242</cdr:y>
    </cdr:from>
    <cdr:to>
      <cdr:x>0.22206</cdr:x>
      <cdr:y>0.8716</cdr:y>
    </cdr:to>
    <cdr:sp macro="" textlink="">
      <cdr:nvSpPr>
        <cdr:cNvPr id="4" name="TextBox 3"/>
        <cdr:cNvSpPr txBox="1"/>
      </cdr:nvSpPr>
      <cdr:spPr>
        <a:xfrm xmlns:a="http://schemas.openxmlformats.org/drawingml/2006/main" rot="-840000">
          <a:off x="857215" y="2080001"/>
          <a:ext cx="492233" cy="576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</a:t>
          </a:r>
        </a:p>
      </cdr:txBody>
    </cdr:sp>
  </cdr:relSizeAnchor>
  <cdr:relSizeAnchor xmlns:cdr="http://schemas.openxmlformats.org/drawingml/2006/chartDrawing">
    <cdr:from>
      <cdr:x>0.1988</cdr:x>
      <cdr:y>0.68412</cdr:y>
    </cdr:from>
    <cdr:to>
      <cdr:x>0.28088</cdr:x>
      <cdr:y>0.91577</cdr:y>
    </cdr:to>
    <cdr:sp macro="" textlink="">
      <cdr:nvSpPr>
        <cdr:cNvPr id="6" name="TextBox 5"/>
        <cdr:cNvSpPr txBox="1"/>
      </cdr:nvSpPr>
      <cdr:spPr>
        <a:xfrm xmlns:a="http://schemas.openxmlformats.org/drawingml/2006/main" rot="-840000">
          <a:off x="1208098" y="2085183"/>
          <a:ext cx="498796" cy="7060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0.25854</cdr:x>
      <cdr:y>0.685</cdr:y>
    </cdr:from>
    <cdr:to>
      <cdr:x>0.35882</cdr:x>
      <cdr:y>0.89837</cdr:y>
    </cdr:to>
    <cdr:sp macro="" textlink="">
      <cdr:nvSpPr>
        <cdr:cNvPr id="7" name="TextBox 6"/>
        <cdr:cNvSpPr txBox="1"/>
      </cdr:nvSpPr>
      <cdr:spPr>
        <a:xfrm xmlns:a="http://schemas.openxmlformats.org/drawingml/2006/main" rot="-840000">
          <a:off x="1571135" y="2087895"/>
          <a:ext cx="609396" cy="6503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0.34087</cdr:x>
      <cdr:y>0.68065</cdr:y>
    </cdr:from>
    <cdr:to>
      <cdr:x>0.40882</cdr:x>
      <cdr:y>0.87235</cdr:y>
    </cdr:to>
    <cdr:sp macro="" textlink="">
      <cdr:nvSpPr>
        <cdr:cNvPr id="9" name="TextBox 8"/>
        <cdr:cNvSpPr txBox="1"/>
      </cdr:nvSpPr>
      <cdr:spPr>
        <a:xfrm xmlns:a="http://schemas.openxmlformats.org/drawingml/2006/main" rot="-840000">
          <a:off x="2071450" y="2074606"/>
          <a:ext cx="412929" cy="584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</a:p>
        <a:p xmlns:a="http://schemas.openxmlformats.org/drawingml/2006/main">
          <a:r>
            <a:rPr lang="ru-RU" sz="800" b="1">
              <a:latin typeface="+mn-lt"/>
            </a:rPr>
            <a:t> </a:t>
          </a:r>
          <a:endParaRPr lang="ru-RU" sz="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0.40578</cdr:x>
      <cdr:y>0.67723</cdr:y>
    </cdr:from>
    <cdr:to>
      <cdr:x>0.48088</cdr:x>
      <cdr:y>0.97535</cdr:y>
    </cdr:to>
    <cdr:sp macro="" textlink="">
      <cdr:nvSpPr>
        <cdr:cNvPr id="11" name="TextBox 10"/>
        <cdr:cNvSpPr txBox="1"/>
      </cdr:nvSpPr>
      <cdr:spPr>
        <a:xfrm xmlns:a="http://schemas.openxmlformats.org/drawingml/2006/main" rot="-840000">
          <a:off x="2465905" y="2064182"/>
          <a:ext cx="456379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/>
          <a:r>
            <a:rPr lang="ru-RU" sz="800" b="1">
              <a:latin typeface="+mn-lt"/>
              <a:ea typeface="+mn-ea"/>
              <a:cs typeface="+mn-cs"/>
            </a:rPr>
            <a:t>травень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0.47059</cdr:x>
      <cdr:y>0.67813</cdr:y>
    </cdr:from>
    <cdr:to>
      <cdr:x>0.54569</cdr:x>
      <cdr:y>0.97625</cdr:y>
    </cdr:to>
    <cdr:sp macro="" textlink="">
      <cdr:nvSpPr>
        <cdr:cNvPr id="12" name="TextBox 1"/>
        <cdr:cNvSpPr txBox="1"/>
      </cdr:nvSpPr>
      <cdr:spPr>
        <a:xfrm xmlns:a="http://schemas.openxmlformats.org/drawingml/2006/main" rot="-840000">
          <a:off x="2859752" y="2066925"/>
          <a:ext cx="456379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червень </a:t>
          </a:r>
        </a:p>
      </cdr:txBody>
    </cdr:sp>
  </cdr:relSizeAnchor>
  <cdr:relSizeAnchor xmlns:cdr="http://schemas.openxmlformats.org/drawingml/2006/chartDrawing">
    <cdr:from>
      <cdr:x>0.54843</cdr:x>
      <cdr:y>0.67687</cdr:y>
    </cdr:from>
    <cdr:to>
      <cdr:x>0.62226</cdr:x>
      <cdr:y>0.975</cdr:y>
    </cdr:to>
    <cdr:sp macro="" textlink="">
      <cdr:nvSpPr>
        <cdr:cNvPr id="13" name="TextBox 1"/>
        <cdr:cNvSpPr txBox="1"/>
      </cdr:nvSpPr>
      <cdr:spPr>
        <a:xfrm xmlns:a="http://schemas.openxmlformats.org/drawingml/2006/main" rot="-840000">
          <a:off x="3332798" y="2063100"/>
          <a:ext cx="448627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липень </a:t>
          </a:r>
        </a:p>
        <a:p xmlns:a="http://schemas.openxmlformats.org/drawingml/2006/main">
          <a:pPr marL="0" indent="0" algn="ctr"/>
          <a:endParaRPr lang="ru-RU" sz="8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0.61324</cdr:x>
      <cdr:y>0.67813</cdr:y>
    </cdr:from>
    <cdr:to>
      <cdr:x>0.68834</cdr:x>
      <cdr:y>0.97625</cdr:y>
    </cdr:to>
    <cdr:sp macro="" textlink="">
      <cdr:nvSpPr>
        <cdr:cNvPr id="14" name="TextBox 1"/>
        <cdr:cNvSpPr txBox="1"/>
      </cdr:nvSpPr>
      <cdr:spPr>
        <a:xfrm xmlns:a="http://schemas.openxmlformats.org/drawingml/2006/main" rot="-840000">
          <a:off x="3726629" y="2066925"/>
          <a:ext cx="456379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серпень </a:t>
          </a:r>
        </a:p>
        <a:p xmlns:a="http://schemas.openxmlformats.org/drawingml/2006/main">
          <a:pPr marL="0" indent="0" algn="ctr"/>
          <a:endParaRPr lang="ru-RU" sz="9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0.68025</cdr:x>
      <cdr:y>0.6811</cdr:y>
    </cdr:from>
    <cdr:to>
      <cdr:x>0.74706</cdr:x>
      <cdr:y>0.97923</cdr:y>
    </cdr:to>
    <cdr:sp macro="" textlink="">
      <cdr:nvSpPr>
        <cdr:cNvPr id="15" name="TextBox 1"/>
        <cdr:cNvSpPr txBox="1"/>
      </cdr:nvSpPr>
      <cdr:spPr>
        <a:xfrm xmlns:a="http://schemas.openxmlformats.org/drawingml/2006/main" rot="-840000">
          <a:off x="4133850" y="2076008"/>
          <a:ext cx="405996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вересень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0.75294</cdr:x>
      <cdr:y>0.68408</cdr:y>
    </cdr:from>
    <cdr:to>
      <cdr:x>0.82804</cdr:x>
      <cdr:y>0.87158</cdr:y>
    </cdr:to>
    <cdr:sp macro="" textlink="">
      <cdr:nvSpPr>
        <cdr:cNvPr id="16" name="TextBox 1"/>
        <cdr:cNvSpPr txBox="1"/>
      </cdr:nvSpPr>
      <cdr:spPr>
        <a:xfrm xmlns:a="http://schemas.openxmlformats.org/drawingml/2006/main" rot="-840000">
          <a:off x="4575579" y="2085061"/>
          <a:ext cx="456379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жовтень </a:t>
          </a:r>
        </a:p>
        <a:p xmlns:a="http://schemas.openxmlformats.org/drawingml/2006/main">
          <a:pPr marL="0" indent="0" algn="ctr"/>
          <a:endParaRPr lang="ru-RU" sz="9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0.81912</cdr:x>
      <cdr:y>0.69294</cdr:y>
    </cdr:from>
    <cdr:to>
      <cdr:x>0.89422</cdr:x>
      <cdr:y>0.99107</cdr:y>
    </cdr:to>
    <cdr:sp macro="" textlink="">
      <cdr:nvSpPr>
        <cdr:cNvPr id="17" name="TextBox 1"/>
        <cdr:cNvSpPr txBox="1"/>
      </cdr:nvSpPr>
      <cdr:spPr>
        <a:xfrm xmlns:a="http://schemas.openxmlformats.org/drawingml/2006/main" rot="-840000">
          <a:off x="4977751" y="2112081"/>
          <a:ext cx="456379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листопад </a:t>
          </a:r>
        </a:p>
      </cdr:txBody>
    </cdr:sp>
  </cdr:relSizeAnchor>
  <cdr:relSizeAnchor xmlns:cdr="http://schemas.openxmlformats.org/drawingml/2006/chartDrawing">
    <cdr:from>
      <cdr:x>0.89412</cdr:x>
      <cdr:y>0.69294</cdr:y>
    </cdr:from>
    <cdr:to>
      <cdr:x>0.96922</cdr:x>
      <cdr:y>0.99107</cdr:y>
    </cdr:to>
    <cdr:sp macro="" textlink="">
      <cdr:nvSpPr>
        <cdr:cNvPr id="18" name="TextBox 1"/>
        <cdr:cNvSpPr txBox="1"/>
      </cdr:nvSpPr>
      <cdr:spPr>
        <a:xfrm xmlns:a="http://schemas.openxmlformats.org/drawingml/2006/main" rot="-840000">
          <a:off x="5433523" y="2112081"/>
          <a:ext cx="456378" cy="90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грудень 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0.09009</cdr:x>
      <cdr:y>0.72191</cdr:y>
    </cdr:from>
    <cdr:to>
      <cdr:x>0.17394</cdr:x>
      <cdr:y>0.96578</cdr:y>
    </cdr:to>
    <cdr:sp macro="" textlink="">
      <cdr:nvSpPr>
        <cdr:cNvPr id="4" name="TextBox 3"/>
        <cdr:cNvSpPr txBox="1"/>
      </cdr:nvSpPr>
      <cdr:spPr>
        <a:xfrm xmlns:a="http://schemas.openxmlformats.org/drawingml/2006/main" rot="-840000">
          <a:off x="556900" y="2365406"/>
          <a:ext cx="518338" cy="799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лютий</a:t>
          </a:r>
        </a:p>
      </cdr:txBody>
    </cdr:sp>
  </cdr:relSizeAnchor>
  <cdr:relSizeAnchor xmlns:cdr="http://schemas.openxmlformats.org/drawingml/2006/chartDrawing">
    <cdr:from>
      <cdr:x>0.14959</cdr:x>
      <cdr:y>0.72819</cdr:y>
    </cdr:from>
    <cdr:to>
      <cdr:x>0.25948</cdr:x>
      <cdr:y>0.95985</cdr:y>
    </cdr:to>
    <cdr:sp macro="" textlink="">
      <cdr:nvSpPr>
        <cdr:cNvPr id="6" name="TextBox 5"/>
        <cdr:cNvSpPr txBox="1"/>
      </cdr:nvSpPr>
      <cdr:spPr>
        <a:xfrm xmlns:a="http://schemas.openxmlformats.org/drawingml/2006/main" rot="-840000">
          <a:off x="897657" y="2191780"/>
          <a:ext cx="659413" cy="697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0.23865</cdr:x>
      <cdr:y>0.72425</cdr:y>
    </cdr:from>
    <cdr:to>
      <cdr:x>0.33114</cdr:x>
      <cdr:y>0.95171</cdr:y>
    </cdr:to>
    <cdr:sp macro="" textlink="">
      <cdr:nvSpPr>
        <cdr:cNvPr id="7" name="TextBox 6"/>
        <cdr:cNvSpPr txBox="1"/>
      </cdr:nvSpPr>
      <cdr:spPr>
        <a:xfrm xmlns:a="http://schemas.openxmlformats.org/drawingml/2006/main" rot="-840000">
          <a:off x="1432051" y="2179921"/>
          <a:ext cx="555036" cy="6846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квітень</a:t>
          </a:r>
          <a:endParaRPr lang="ru-RU" sz="800" b="1" baseline="0">
            <a:latin typeface="+mn-lt"/>
            <a:ea typeface="+mn-ea"/>
            <a:cs typeface="+mn-cs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0.32547</cdr:x>
      <cdr:y>0.72183</cdr:y>
    </cdr:from>
    <cdr:to>
      <cdr:x>0.40962</cdr:x>
      <cdr:y>0.97565</cdr:y>
    </cdr:to>
    <cdr:sp macro="" textlink="">
      <cdr:nvSpPr>
        <cdr:cNvPr id="9" name="TextBox 8"/>
        <cdr:cNvSpPr txBox="1"/>
      </cdr:nvSpPr>
      <cdr:spPr>
        <a:xfrm xmlns:a="http://schemas.openxmlformats.org/drawingml/2006/main" rot="-840000">
          <a:off x="2011976" y="2365145"/>
          <a:ext cx="520192" cy="8316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травень</a:t>
          </a:r>
          <a:r>
            <a:rPr lang="ru-RU" sz="800" b="1" baseline="0">
              <a:latin typeface="+mn-lt"/>
            </a:rPr>
            <a:t> </a:t>
          </a:r>
        </a:p>
        <a:p xmlns:a="http://schemas.openxmlformats.org/drawingml/2006/main">
          <a:pPr algn="ctr"/>
          <a:endParaRPr lang="ru-RU" sz="800" b="1">
            <a:latin typeface="+mn-lt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0.40146</cdr:x>
      <cdr:y>0.72022</cdr:y>
    </cdr:from>
    <cdr:to>
      <cdr:x>0.47857</cdr:x>
      <cdr:y>0.97404</cdr:y>
    </cdr:to>
    <cdr:sp macro="" textlink="">
      <cdr:nvSpPr>
        <cdr:cNvPr id="11" name="TextBox 1"/>
        <cdr:cNvSpPr txBox="1"/>
      </cdr:nvSpPr>
      <cdr:spPr>
        <a:xfrm xmlns:a="http://schemas.openxmlformats.org/drawingml/2006/main" rot="-840000">
          <a:off x="2481695" y="2359882"/>
          <a:ext cx="476673" cy="831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червень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0.48575</cdr:x>
      <cdr:y>0.71827</cdr:y>
    </cdr:from>
    <cdr:to>
      <cdr:x>0.5543</cdr:x>
      <cdr:y>0.97209</cdr:y>
    </cdr:to>
    <cdr:sp macro="" textlink="">
      <cdr:nvSpPr>
        <cdr:cNvPr id="12" name="TextBox 1"/>
        <cdr:cNvSpPr txBox="1"/>
      </cdr:nvSpPr>
      <cdr:spPr>
        <a:xfrm xmlns:a="http://schemas.openxmlformats.org/drawingml/2006/main" rot="-840000">
          <a:off x="3002763" y="2353482"/>
          <a:ext cx="423757" cy="8316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0.55984</cdr:x>
      <cdr:y>0.71827</cdr:y>
    </cdr:from>
    <cdr:to>
      <cdr:x>0.62839</cdr:x>
      <cdr:y>0.97209</cdr:y>
    </cdr:to>
    <cdr:sp macro="" textlink="">
      <cdr:nvSpPr>
        <cdr:cNvPr id="15" name="TextBox 1"/>
        <cdr:cNvSpPr txBox="1"/>
      </cdr:nvSpPr>
      <cdr:spPr>
        <a:xfrm xmlns:a="http://schemas.openxmlformats.org/drawingml/2006/main" rot="-840000">
          <a:off x="3460767" y="2353480"/>
          <a:ext cx="423757" cy="831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серпень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0.63699</cdr:x>
      <cdr:y>0.7064</cdr:y>
    </cdr:from>
    <cdr:to>
      <cdr:x>0.70553</cdr:x>
      <cdr:y>0.96022</cdr:y>
    </cdr:to>
    <cdr:sp macro="" textlink="">
      <cdr:nvSpPr>
        <cdr:cNvPr id="16" name="TextBox 1"/>
        <cdr:cNvSpPr txBox="1"/>
      </cdr:nvSpPr>
      <cdr:spPr>
        <a:xfrm xmlns:a="http://schemas.openxmlformats.org/drawingml/2006/main" rot="-840000">
          <a:off x="3937676" y="2314575"/>
          <a:ext cx="423696" cy="831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вересень</a:t>
          </a:r>
          <a:endParaRPr lang="ru-RU" sz="800" b="1" baseline="0">
            <a:latin typeface="Calibri"/>
          </a:endParaRPr>
        </a:p>
      </cdr:txBody>
    </cdr:sp>
  </cdr:relSizeAnchor>
  <cdr:relSizeAnchor xmlns:cdr="http://schemas.openxmlformats.org/drawingml/2006/chartDrawing">
    <cdr:from>
      <cdr:x>0.71414</cdr:x>
      <cdr:y>0.7064</cdr:y>
    </cdr:from>
    <cdr:to>
      <cdr:x>0.78268</cdr:x>
      <cdr:y>0.96022</cdr:y>
    </cdr:to>
    <cdr:sp macro="" textlink="">
      <cdr:nvSpPr>
        <cdr:cNvPr id="17" name="TextBox 1"/>
        <cdr:cNvSpPr txBox="1"/>
      </cdr:nvSpPr>
      <cdr:spPr>
        <a:xfrm xmlns:a="http://schemas.openxmlformats.org/drawingml/2006/main" rot="-840000">
          <a:off x="4414617" y="2314575"/>
          <a:ext cx="423696" cy="831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жовтень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0.80157</cdr:x>
      <cdr:y>0.70373</cdr:y>
    </cdr:from>
    <cdr:to>
      <cdr:x>0.87012</cdr:x>
      <cdr:y>0.95755</cdr:y>
    </cdr:to>
    <cdr:sp macro="" textlink="">
      <cdr:nvSpPr>
        <cdr:cNvPr id="18" name="TextBox 1"/>
        <cdr:cNvSpPr txBox="1"/>
      </cdr:nvSpPr>
      <cdr:spPr>
        <a:xfrm xmlns:a="http://schemas.openxmlformats.org/drawingml/2006/main" rot="-840000">
          <a:off x="4955116" y="2305848"/>
          <a:ext cx="423696" cy="831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листопад 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0.88003</cdr:x>
      <cdr:y>0.69767</cdr:y>
    </cdr:from>
    <cdr:to>
      <cdr:x>0.94858</cdr:x>
      <cdr:y>0.95149</cdr:y>
    </cdr:to>
    <cdr:sp macro="" textlink="">
      <cdr:nvSpPr>
        <cdr:cNvPr id="19" name="TextBox 1"/>
        <cdr:cNvSpPr txBox="1"/>
      </cdr:nvSpPr>
      <cdr:spPr>
        <a:xfrm xmlns:a="http://schemas.openxmlformats.org/drawingml/2006/main" rot="-840000">
          <a:off x="5440120" y="2286000"/>
          <a:ext cx="423757" cy="831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грудень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57B7D-E58B-457B-B0A4-FB0088CB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2016-07-08T07:32:00Z</cp:lastPrinted>
  <dcterms:created xsi:type="dcterms:W3CDTF">2016-07-25T07:45:00Z</dcterms:created>
  <dcterms:modified xsi:type="dcterms:W3CDTF">2016-07-25T07:45:00Z</dcterms:modified>
</cp:coreProperties>
</file>